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B6" w:rsidRPr="008102F2" w:rsidRDefault="008D1CB6" w:rsidP="008D1CB6">
      <w:pPr>
        <w:jc w:val="center"/>
        <w:rPr>
          <w:rFonts w:ascii="Times New Roman" w:hAnsi="Times New Roman" w:cs="Times New Roman"/>
          <w:sz w:val="24"/>
          <w:szCs w:val="24"/>
        </w:rPr>
      </w:pPr>
      <w:bookmarkStart w:id="0" w:name="_GoBack"/>
      <w:bookmarkEnd w:id="0"/>
    </w:p>
    <w:p w:rsidR="00AA4E55" w:rsidRPr="008102F2" w:rsidRDefault="00AA4E55" w:rsidP="008D1CB6">
      <w:pPr>
        <w:pStyle w:val="stBilgi"/>
        <w:jc w:val="center"/>
        <w:rPr>
          <w:rFonts w:ascii="Times New Roman" w:hAnsi="Times New Roman" w:cs="Times New Roman"/>
          <w:b/>
          <w:sz w:val="24"/>
          <w:szCs w:val="24"/>
        </w:rPr>
      </w:pPr>
    </w:p>
    <w:p w:rsidR="008D1CB6" w:rsidRPr="008102F2" w:rsidRDefault="005220D8" w:rsidP="008D1CB6">
      <w:pPr>
        <w:pStyle w:val="stBilgi"/>
        <w:jc w:val="center"/>
        <w:rPr>
          <w:rFonts w:ascii="Times New Roman" w:hAnsi="Times New Roman" w:cs="Times New Roman"/>
          <w:b/>
          <w:sz w:val="24"/>
          <w:szCs w:val="24"/>
        </w:rPr>
      </w:pPr>
      <w:r>
        <w:rPr>
          <w:rFonts w:ascii="Times New Roman" w:hAnsi="Times New Roman" w:cs="Times New Roman"/>
          <w:b/>
          <w:sz w:val="24"/>
          <w:szCs w:val="24"/>
        </w:rPr>
        <w:t>MALATYA ÇEVRE VE ŞEHİRCİLİK İL MÜDÜRLÜĞÜ</w:t>
      </w:r>
    </w:p>
    <w:p w:rsidR="008D1CB6" w:rsidRPr="008102F2" w:rsidRDefault="008D1CB6" w:rsidP="008D1CB6">
      <w:pPr>
        <w:pStyle w:val="stBilgi"/>
        <w:jc w:val="center"/>
        <w:rPr>
          <w:rFonts w:ascii="Times New Roman" w:hAnsi="Times New Roman" w:cs="Times New Roman"/>
          <w:b/>
          <w:sz w:val="24"/>
          <w:szCs w:val="24"/>
        </w:rPr>
      </w:pPr>
      <w:r w:rsidRPr="008102F2">
        <w:rPr>
          <w:rFonts w:ascii="Times New Roman" w:hAnsi="Times New Roman" w:cs="Times New Roman"/>
          <w:b/>
          <w:sz w:val="24"/>
          <w:szCs w:val="24"/>
        </w:rPr>
        <w:t>MİLLİ EMLAK MÜDÜRLÜĞÜNDEN</w:t>
      </w:r>
    </w:p>
    <w:p w:rsidR="008D1CB6" w:rsidRPr="008102F2" w:rsidRDefault="008D1CB6" w:rsidP="008D1CB6">
      <w:pPr>
        <w:pStyle w:val="stBilgi"/>
        <w:jc w:val="center"/>
        <w:rPr>
          <w:rFonts w:ascii="Times New Roman" w:hAnsi="Times New Roman" w:cs="Times New Roman"/>
          <w:sz w:val="24"/>
          <w:szCs w:val="24"/>
        </w:rPr>
      </w:pPr>
    </w:p>
    <w:p w:rsidR="008D1CB6" w:rsidRDefault="008D1CB6" w:rsidP="008D1CB6">
      <w:pPr>
        <w:pStyle w:val="stBilgi"/>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Aşağıda özellikleri belirtilen taşınmaz</w:t>
      </w:r>
      <w:r w:rsidR="00FC114D">
        <w:rPr>
          <w:rFonts w:ascii="Times New Roman" w:eastAsia="Times New Roman" w:hAnsi="Times New Roman" w:cs="Times New Roman"/>
          <w:sz w:val="24"/>
          <w:szCs w:val="24"/>
          <w:lang w:eastAsia="tr-TR"/>
        </w:rPr>
        <w:t>lar</w:t>
      </w:r>
      <w:r w:rsidRPr="008102F2">
        <w:rPr>
          <w:rFonts w:ascii="Times New Roman" w:eastAsia="Times New Roman" w:hAnsi="Times New Roman" w:cs="Times New Roman"/>
          <w:sz w:val="24"/>
          <w:szCs w:val="24"/>
          <w:lang w:eastAsia="tr-TR"/>
        </w:rPr>
        <w:t xml:space="preserve"> üzerinde ağaçlandırma yapılmak amacıyla kiralama ihalesi yapılacaktır.</w:t>
      </w:r>
    </w:p>
    <w:p w:rsidR="00C55971" w:rsidRPr="008102F2" w:rsidRDefault="00C55971" w:rsidP="008D1CB6">
      <w:pPr>
        <w:pStyle w:val="stBilgi"/>
        <w:rPr>
          <w:rFonts w:ascii="Times New Roman" w:hAnsi="Times New Roman" w:cs="Times New Roman"/>
          <w:sz w:val="24"/>
          <w:szCs w:val="24"/>
        </w:rPr>
      </w:pPr>
    </w:p>
    <w:tbl>
      <w:tblPr>
        <w:tblW w:w="15386" w:type="dxa"/>
        <w:tblInd w:w="55" w:type="dxa"/>
        <w:tblLayout w:type="fixed"/>
        <w:tblCellMar>
          <w:left w:w="70" w:type="dxa"/>
          <w:right w:w="70" w:type="dxa"/>
        </w:tblCellMar>
        <w:tblLook w:val="04A0" w:firstRow="1" w:lastRow="0" w:firstColumn="1" w:lastColumn="0" w:noHBand="0" w:noVBand="1"/>
      </w:tblPr>
      <w:tblGrid>
        <w:gridCol w:w="928"/>
        <w:gridCol w:w="1134"/>
        <w:gridCol w:w="1072"/>
        <w:gridCol w:w="709"/>
        <w:gridCol w:w="992"/>
        <w:gridCol w:w="1621"/>
        <w:gridCol w:w="1559"/>
        <w:gridCol w:w="992"/>
        <w:gridCol w:w="1923"/>
        <w:gridCol w:w="1559"/>
        <w:gridCol w:w="1418"/>
        <w:gridCol w:w="1479"/>
      </w:tblGrid>
      <w:tr w:rsidR="005105FE" w:rsidRPr="008102F2" w:rsidTr="00037E90">
        <w:trPr>
          <w:trHeight w:val="645"/>
        </w:trPr>
        <w:tc>
          <w:tcPr>
            <w:tcW w:w="928" w:type="dxa"/>
            <w:tcBorders>
              <w:top w:val="single" w:sz="8" w:space="0" w:color="auto"/>
              <w:left w:val="single" w:sz="8" w:space="0" w:color="auto"/>
              <w:bottom w:val="single" w:sz="4" w:space="0" w:color="auto"/>
              <w:right w:val="single" w:sz="4" w:space="0" w:color="auto"/>
            </w:tcBorders>
            <w:shd w:val="clear" w:color="auto" w:fill="auto"/>
            <w:vAlign w:val="center"/>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İLİ</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İLÇESİ</w:t>
            </w:r>
          </w:p>
        </w:tc>
        <w:tc>
          <w:tcPr>
            <w:tcW w:w="1072"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MAH.</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ADA</w:t>
            </w:r>
          </w:p>
        </w:tc>
        <w:tc>
          <w:tcPr>
            <w:tcW w:w="992" w:type="dxa"/>
            <w:tcBorders>
              <w:top w:val="single" w:sz="4" w:space="0" w:color="auto"/>
              <w:left w:val="single" w:sz="4" w:space="0" w:color="auto"/>
              <w:bottom w:val="single" w:sz="4" w:space="0" w:color="auto"/>
              <w:right w:val="single" w:sz="4" w:space="0" w:color="auto"/>
            </w:tcBorders>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PARSEL</w:t>
            </w:r>
          </w:p>
        </w:tc>
        <w:tc>
          <w:tcPr>
            <w:tcW w:w="1621" w:type="dxa"/>
            <w:tcBorders>
              <w:top w:val="single" w:sz="4" w:space="0" w:color="auto"/>
              <w:left w:val="nil"/>
              <w:bottom w:val="single" w:sz="4" w:space="0" w:color="auto"/>
              <w:right w:val="single" w:sz="4" w:space="0" w:color="auto"/>
            </w:tcBorders>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YÜZÖLÇÜMÜ (M2)</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KİRALANAN YÜZÖLÇÜMÜ (M2)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 SÜRESİ</w:t>
            </w:r>
          </w:p>
        </w:tc>
        <w:tc>
          <w:tcPr>
            <w:tcW w:w="1923"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KİRALAMA AMACI</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 BEDELİ (1.GRUP)</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w:t>
            </w: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 xml:space="preserve"> BEDELİ </w:t>
            </w: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(2. GRUP)</w:t>
            </w:r>
          </w:p>
        </w:tc>
        <w:tc>
          <w:tcPr>
            <w:tcW w:w="147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8D1CB6">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İHALE TARİH / SAATİ</w:t>
            </w:r>
          </w:p>
        </w:tc>
      </w:tr>
      <w:tr w:rsidR="005105FE" w:rsidRPr="008102F2" w:rsidTr="00037E90">
        <w:trPr>
          <w:trHeight w:val="753"/>
        </w:trPr>
        <w:tc>
          <w:tcPr>
            <w:tcW w:w="928" w:type="dxa"/>
            <w:tcBorders>
              <w:top w:val="nil"/>
              <w:left w:val="single" w:sz="8" w:space="0" w:color="auto"/>
              <w:bottom w:val="single" w:sz="4" w:space="0" w:color="auto"/>
              <w:right w:val="single" w:sz="4" w:space="0" w:color="auto"/>
            </w:tcBorders>
            <w:shd w:val="clear" w:color="auto" w:fill="auto"/>
            <w:vAlign w:val="center"/>
          </w:tcPr>
          <w:p w:rsidR="005105FE" w:rsidRPr="008102F2" w:rsidRDefault="005105FE" w:rsidP="008D1CB6">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Malatya</w:t>
            </w:r>
          </w:p>
        </w:tc>
        <w:tc>
          <w:tcPr>
            <w:tcW w:w="1134" w:type="dxa"/>
            <w:tcBorders>
              <w:top w:val="nil"/>
              <w:left w:val="nil"/>
              <w:bottom w:val="single" w:sz="4" w:space="0" w:color="auto"/>
              <w:right w:val="single" w:sz="4" w:space="0" w:color="auto"/>
            </w:tcBorders>
            <w:shd w:val="clear" w:color="auto" w:fill="auto"/>
            <w:vAlign w:val="center"/>
            <w:hideMark/>
          </w:tcPr>
          <w:p w:rsidR="005105FE" w:rsidRPr="008102F2" w:rsidRDefault="00037E90"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Yeşilyurt</w:t>
            </w:r>
          </w:p>
        </w:tc>
        <w:tc>
          <w:tcPr>
            <w:tcW w:w="1072" w:type="dxa"/>
            <w:tcBorders>
              <w:top w:val="nil"/>
              <w:left w:val="nil"/>
              <w:bottom w:val="single" w:sz="4" w:space="0" w:color="auto"/>
              <w:right w:val="single" w:sz="4" w:space="0" w:color="auto"/>
            </w:tcBorders>
            <w:shd w:val="clear" w:color="auto" w:fill="auto"/>
            <w:vAlign w:val="center"/>
            <w:hideMark/>
          </w:tcPr>
          <w:p w:rsidR="005105FE" w:rsidRPr="008102F2" w:rsidRDefault="00037E90"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Atalar</w:t>
            </w:r>
          </w:p>
        </w:tc>
        <w:tc>
          <w:tcPr>
            <w:tcW w:w="709" w:type="dxa"/>
            <w:tcBorders>
              <w:top w:val="nil"/>
              <w:left w:val="nil"/>
              <w:bottom w:val="single" w:sz="4" w:space="0" w:color="auto"/>
              <w:right w:val="single" w:sz="4" w:space="0" w:color="auto"/>
            </w:tcBorders>
            <w:shd w:val="clear" w:color="auto" w:fill="auto"/>
            <w:vAlign w:val="center"/>
            <w:hideMark/>
          </w:tcPr>
          <w:p w:rsidR="005105FE" w:rsidRPr="008102F2" w:rsidRDefault="00037E90"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rsidR="005105FE" w:rsidRPr="008102F2" w:rsidRDefault="00037E90"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DHTA</w:t>
            </w:r>
          </w:p>
        </w:tc>
        <w:tc>
          <w:tcPr>
            <w:tcW w:w="1621" w:type="dxa"/>
            <w:tcBorders>
              <w:top w:val="single" w:sz="4" w:space="0" w:color="auto"/>
              <w:left w:val="nil"/>
              <w:bottom w:val="single" w:sz="4" w:space="0" w:color="auto"/>
              <w:right w:val="single" w:sz="4" w:space="0" w:color="auto"/>
            </w:tcBorders>
          </w:tcPr>
          <w:p w:rsidR="005105FE" w:rsidRDefault="005105FE" w:rsidP="008D1CB6">
            <w:pPr>
              <w:spacing w:after="0" w:line="240" w:lineRule="auto"/>
              <w:jc w:val="center"/>
              <w:rPr>
                <w:rFonts w:ascii="Times New Roman" w:eastAsia="Times New Roman" w:hAnsi="Times New Roman" w:cs="Times New Roman"/>
                <w:sz w:val="24"/>
                <w:szCs w:val="24"/>
                <w:lang w:eastAsia="tr-TR"/>
              </w:rPr>
            </w:pPr>
          </w:p>
          <w:p w:rsidR="005105FE" w:rsidRPr="005105FE"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w:t>
            </w:r>
            <w:r w:rsidR="005105F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600</w:t>
            </w:r>
            <w:r w:rsidR="005105F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00</w:t>
            </w:r>
            <w:r w:rsidR="005105FE">
              <w:rPr>
                <w:rFonts w:ascii="Times New Roman" w:eastAsia="Times New Roman" w:hAnsi="Times New Roman" w:cs="Times New Roman"/>
                <w:sz w:val="24"/>
                <w:szCs w:val="24"/>
                <w:lang w:eastAsia="tr-TR"/>
              </w:rPr>
              <w:t xml:space="preserve"> m</w:t>
            </w:r>
            <w:r w:rsidR="005105FE">
              <w:rPr>
                <w:rFonts w:ascii="Times New Roman" w:eastAsia="Times New Roman" w:hAnsi="Times New Roman" w:cs="Times New Roman"/>
                <w:sz w:val="24"/>
                <w:szCs w:val="24"/>
                <w:vertAlign w:val="superscript"/>
                <w:lang w:eastAsia="tr-TR"/>
              </w:rPr>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105FE" w:rsidRPr="008102F2" w:rsidRDefault="00037E90"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38.600,00</w:t>
            </w:r>
            <w:r w:rsidR="005105FE" w:rsidRPr="008102F2">
              <w:rPr>
                <w:rFonts w:ascii="Times New Roman" w:eastAsia="Times New Roman" w:hAnsi="Times New Roman" w:cs="Times New Roman"/>
                <w:sz w:val="24"/>
                <w:szCs w:val="24"/>
                <w:lang w:eastAsia="tr-TR"/>
              </w:rPr>
              <w:t xml:space="preserve"> m²</w:t>
            </w:r>
          </w:p>
        </w:tc>
        <w:tc>
          <w:tcPr>
            <w:tcW w:w="992" w:type="dxa"/>
            <w:tcBorders>
              <w:top w:val="nil"/>
              <w:left w:val="nil"/>
              <w:bottom w:val="single" w:sz="4" w:space="0" w:color="auto"/>
              <w:right w:val="single" w:sz="4" w:space="0" w:color="auto"/>
            </w:tcBorders>
            <w:shd w:val="clear" w:color="auto" w:fill="auto"/>
            <w:vAlign w:val="center"/>
          </w:tcPr>
          <w:p w:rsidR="005105FE" w:rsidRPr="008102F2" w:rsidRDefault="005105FE" w:rsidP="00D916A7">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923" w:type="dxa"/>
            <w:tcBorders>
              <w:top w:val="nil"/>
              <w:left w:val="nil"/>
              <w:bottom w:val="single" w:sz="4" w:space="0" w:color="auto"/>
              <w:right w:val="single" w:sz="4" w:space="0" w:color="auto"/>
            </w:tcBorders>
            <w:shd w:val="clear" w:color="auto" w:fill="auto"/>
            <w:vAlign w:val="center"/>
          </w:tcPr>
          <w:p w:rsidR="005105FE" w:rsidRPr="008102F2" w:rsidRDefault="005105FE" w:rsidP="008D1CB6">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1559" w:type="dxa"/>
            <w:tcBorders>
              <w:top w:val="nil"/>
              <w:left w:val="nil"/>
              <w:bottom w:val="single" w:sz="4" w:space="0" w:color="auto"/>
              <w:right w:val="single" w:sz="4" w:space="0" w:color="auto"/>
            </w:tcBorders>
            <w:shd w:val="clear" w:color="auto" w:fill="auto"/>
            <w:vAlign w:val="center"/>
          </w:tcPr>
          <w:p w:rsidR="005105FE" w:rsidRPr="008102F2" w:rsidRDefault="005105FE" w:rsidP="00240BA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w:t>
            </w:r>
            <w:r w:rsidRPr="008102F2">
              <w:rPr>
                <w:rFonts w:ascii="Times New Roman" w:eastAsia="Times New Roman" w:hAnsi="Times New Roman" w:cs="Times New Roman"/>
                <w:sz w:val="24"/>
                <w:szCs w:val="24"/>
                <w:lang w:eastAsia="tr-TR"/>
              </w:rPr>
              <w:t>,00-TL</w:t>
            </w:r>
          </w:p>
        </w:tc>
        <w:tc>
          <w:tcPr>
            <w:tcW w:w="1418" w:type="dxa"/>
            <w:tcBorders>
              <w:top w:val="nil"/>
              <w:left w:val="nil"/>
              <w:bottom w:val="single" w:sz="4" w:space="0" w:color="auto"/>
              <w:right w:val="single" w:sz="4" w:space="0" w:color="auto"/>
            </w:tcBorders>
            <w:shd w:val="clear" w:color="auto" w:fill="auto"/>
            <w:vAlign w:val="center"/>
          </w:tcPr>
          <w:p w:rsidR="005105FE" w:rsidRPr="008102F2" w:rsidRDefault="005105FE" w:rsidP="0047336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10.000</w:t>
            </w:r>
            <w:r w:rsidRPr="008102F2">
              <w:rPr>
                <w:rFonts w:ascii="Times New Roman" w:eastAsia="Times New Roman" w:hAnsi="Times New Roman" w:cs="Times New Roman"/>
                <w:sz w:val="24"/>
                <w:szCs w:val="24"/>
                <w:lang w:eastAsia="tr-TR"/>
              </w:rPr>
              <w:t>,00-TL</w:t>
            </w:r>
          </w:p>
        </w:tc>
        <w:tc>
          <w:tcPr>
            <w:tcW w:w="1479" w:type="dxa"/>
            <w:tcBorders>
              <w:top w:val="nil"/>
              <w:left w:val="nil"/>
              <w:bottom w:val="single" w:sz="4" w:space="0" w:color="auto"/>
              <w:right w:val="single" w:sz="4" w:space="0" w:color="auto"/>
            </w:tcBorders>
            <w:shd w:val="clear" w:color="auto" w:fill="auto"/>
            <w:vAlign w:val="center"/>
          </w:tcPr>
          <w:p w:rsidR="005105FE"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5105FE"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005105FE" w:rsidRPr="008102F2">
              <w:rPr>
                <w:rFonts w:ascii="Times New Roman" w:eastAsia="Times New Roman" w:hAnsi="Times New Roman" w:cs="Times New Roman"/>
                <w:sz w:val="24"/>
                <w:szCs w:val="24"/>
                <w:lang w:eastAsia="tr-TR"/>
              </w:rPr>
              <w:t>/20</w:t>
            </w:r>
            <w:r w:rsidR="00BB68CC">
              <w:rPr>
                <w:rFonts w:ascii="Times New Roman" w:eastAsia="Times New Roman" w:hAnsi="Times New Roman" w:cs="Times New Roman"/>
                <w:sz w:val="24"/>
                <w:szCs w:val="24"/>
                <w:lang w:eastAsia="tr-TR"/>
              </w:rPr>
              <w:t>21 - 1</w:t>
            </w:r>
            <w:r>
              <w:rPr>
                <w:rFonts w:ascii="Times New Roman" w:eastAsia="Times New Roman" w:hAnsi="Times New Roman" w:cs="Times New Roman"/>
                <w:sz w:val="24"/>
                <w:szCs w:val="24"/>
                <w:lang w:eastAsia="tr-TR"/>
              </w:rPr>
              <w:t>0</w:t>
            </w:r>
            <w:r w:rsidR="005105FE" w:rsidRPr="008102F2">
              <w:rPr>
                <w:rFonts w:ascii="Times New Roman" w:eastAsia="Times New Roman" w:hAnsi="Times New Roman" w:cs="Times New Roman"/>
                <w:sz w:val="24"/>
                <w:szCs w:val="24"/>
                <w:lang w:eastAsia="tr-TR"/>
              </w:rPr>
              <w:t>:00</w:t>
            </w:r>
          </w:p>
        </w:tc>
      </w:tr>
      <w:tr w:rsidR="00037E90" w:rsidRPr="008102F2" w:rsidTr="00037E90">
        <w:trPr>
          <w:trHeight w:val="753"/>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Malatya</w:t>
            </w:r>
          </w:p>
        </w:tc>
        <w:tc>
          <w:tcPr>
            <w:tcW w:w="1134"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Yeşilyurt</w:t>
            </w:r>
          </w:p>
        </w:tc>
        <w:tc>
          <w:tcPr>
            <w:tcW w:w="1072"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Atalar</w:t>
            </w:r>
          </w:p>
        </w:tc>
        <w:tc>
          <w:tcPr>
            <w:tcW w:w="70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DHTA</w:t>
            </w:r>
          </w:p>
        </w:tc>
        <w:tc>
          <w:tcPr>
            <w:tcW w:w="1621" w:type="dxa"/>
            <w:tcBorders>
              <w:top w:val="single" w:sz="4" w:space="0" w:color="auto"/>
              <w:left w:val="nil"/>
              <w:bottom w:val="single" w:sz="4" w:space="0" w:color="auto"/>
              <w:right w:val="single" w:sz="4" w:space="0" w:color="auto"/>
            </w:tcBorders>
          </w:tcPr>
          <w:p w:rsidR="00037E90" w:rsidRDefault="00037E90" w:rsidP="00037E90">
            <w:pPr>
              <w:spacing w:after="0" w:line="240" w:lineRule="auto"/>
              <w:jc w:val="center"/>
              <w:rPr>
                <w:rFonts w:ascii="Times New Roman" w:eastAsia="Times New Roman" w:hAnsi="Times New Roman" w:cs="Times New Roman"/>
                <w:sz w:val="24"/>
                <w:szCs w:val="24"/>
                <w:lang w:eastAsia="tr-TR"/>
              </w:rPr>
            </w:pPr>
          </w:p>
          <w:p w:rsidR="00037E90" w:rsidRPr="005105FE"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38.600,43 m</w:t>
            </w:r>
            <w:r>
              <w:rPr>
                <w:rFonts w:ascii="Times New Roman" w:eastAsia="Times New Roman" w:hAnsi="Times New Roman" w:cs="Times New Roman"/>
                <w:sz w:val="24"/>
                <w:szCs w:val="24"/>
                <w:vertAlign w:val="superscript"/>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38.600,43</w:t>
            </w:r>
            <w:r w:rsidRPr="008102F2">
              <w:rPr>
                <w:rFonts w:ascii="Times New Roman" w:eastAsia="Times New Roman" w:hAnsi="Times New Roman" w:cs="Times New Roman"/>
                <w:sz w:val="24"/>
                <w:szCs w:val="24"/>
                <w:lang w:eastAsia="tr-TR"/>
              </w:rPr>
              <w:t xml:space="preserve"> m²</w:t>
            </w:r>
          </w:p>
        </w:tc>
        <w:tc>
          <w:tcPr>
            <w:tcW w:w="992"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923"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w:t>
            </w:r>
            <w:r w:rsidRPr="008102F2">
              <w:rPr>
                <w:rFonts w:ascii="Times New Roman" w:eastAsia="Times New Roman" w:hAnsi="Times New Roman" w:cs="Times New Roman"/>
                <w:sz w:val="24"/>
                <w:szCs w:val="24"/>
                <w:lang w:eastAsia="tr-TR"/>
              </w:rPr>
              <w:t>,00-TL</w:t>
            </w:r>
          </w:p>
        </w:tc>
        <w:tc>
          <w:tcPr>
            <w:tcW w:w="1418"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10.000</w:t>
            </w:r>
            <w:r w:rsidRPr="008102F2">
              <w:rPr>
                <w:rFonts w:ascii="Times New Roman" w:eastAsia="Times New Roman" w:hAnsi="Times New Roman" w:cs="Times New Roman"/>
                <w:sz w:val="24"/>
                <w:szCs w:val="24"/>
                <w:lang w:eastAsia="tr-TR"/>
              </w:rPr>
              <w:t>,00-TL</w:t>
            </w:r>
          </w:p>
        </w:tc>
        <w:tc>
          <w:tcPr>
            <w:tcW w:w="147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Pr="008102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21 - 10</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30</w:t>
            </w:r>
          </w:p>
        </w:tc>
      </w:tr>
      <w:tr w:rsidR="00037E90" w:rsidRPr="008102F2" w:rsidTr="00037E90">
        <w:trPr>
          <w:trHeight w:val="753"/>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Malatya</w:t>
            </w:r>
          </w:p>
        </w:tc>
        <w:tc>
          <w:tcPr>
            <w:tcW w:w="1134"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Yeşilyurt</w:t>
            </w:r>
          </w:p>
        </w:tc>
        <w:tc>
          <w:tcPr>
            <w:tcW w:w="1072"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Atalar</w:t>
            </w:r>
          </w:p>
        </w:tc>
        <w:tc>
          <w:tcPr>
            <w:tcW w:w="70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DHTA</w:t>
            </w:r>
          </w:p>
        </w:tc>
        <w:tc>
          <w:tcPr>
            <w:tcW w:w="1621" w:type="dxa"/>
            <w:tcBorders>
              <w:top w:val="single" w:sz="4" w:space="0" w:color="auto"/>
              <w:left w:val="nil"/>
              <w:bottom w:val="single" w:sz="4" w:space="0" w:color="auto"/>
              <w:right w:val="single" w:sz="4" w:space="0" w:color="auto"/>
            </w:tcBorders>
          </w:tcPr>
          <w:p w:rsidR="00037E90" w:rsidRDefault="00037E90" w:rsidP="00037E90">
            <w:pPr>
              <w:spacing w:after="0" w:line="240" w:lineRule="auto"/>
              <w:jc w:val="center"/>
              <w:rPr>
                <w:rFonts w:ascii="Times New Roman" w:eastAsia="Times New Roman" w:hAnsi="Times New Roman" w:cs="Times New Roman"/>
                <w:sz w:val="24"/>
                <w:szCs w:val="24"/>
                <w:lang w:eastAsia="tr-TR"/>
              </w:rPr>
            </w:pPr>
          </w:p>
          <w:p w:rsidR="00037E90" w:rsidRPr="005105FE"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37.978,54 m</w:t>
            </w:r>
            <w:r>
              <w:rPr>
                <w:rFonts w:ascii="Times New Roman" w:eastAsia="Times New Roman" w:hAnsi="Times New Roman" w:cs="Times New Roman"/>
                <w:sz w:val="24"/>
                <w:szCs w:val="24"/>
                <w:vertAlign w:val="superscript"/>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37.978,54</w:t>
            </w:r>
            <w:r w:rsidRPr="008102F2">
              <w:rPr>
                <w:rFonts w:ascii="Times New Roman" w:eastAsia="Times New Roman" w:hAnsi="Times New Roman" w:cs="Times New Roman"/>
                <w:sz w:val="24"/>
                <w:szCs w:val="24"/>
                <w:lang w:eastAsia="tr-TR"/>
              </w:rPr>
              <w:t xml:space="preserve"> m²</w:t>
            </w:r>
          </w:p>
        </w:tc>
        <w:tc>
          <w:tcPr>
            <w:tcW w:w="992"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923"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155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w:t>
            </w:r>
            <w:r w:rsidRPr="008102F2">
              <w:rPr>
                <w:rFonts w:ascii="Times New Roman" w:eastAsia="Times New Roman" w:hAnsi="Times New Roman" w:cs="Times New Roman"/>
                <w:sz w:val="24"/>
                <w:szCs w:val="24"/>
                <w:lang w:eastAsia="tr-TR"/>
              </w:rPr>
              <w:t>,00-TL</w:t>
            </w:r>
          </w:p>
        </w:tc>
        <w:tc>
          <w:tcPr>
            <w:tcW w:w="1418"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10.000</w:t>
            </w:r>
            <w:r w:rsidRPr="008102F2">
              <w:rPr>
                <w:rFonts w:ascii="Times New Roman" w:eastAsia="Times New Roman" w:hAnsi="Times New Roman" w:cs="Times New Roman"/>
                <w:sz w:val="24"/>
                <w:szCs w:val="24"/>
                <w:lang w:eastAsia="tr-TR"/>
              </w:rPr>
              <w:t>,00-TL</w:t>
            </w:r>
          </w:p>
        </w:tc>
        <w:tc>
          <w:tcPr>
            <w:tcW w:w="1479" w:type="dxa"/>
            <w:tcBorders>
              <w:top w:val="single" w:sz="4" w:space="0" w:color="auto"/>
              <w:left w:val="nil"/>
              <w:bottom w:val="single" w:sz="4" w:space="0" w:color="auto"/>
              <w:right w:val="single" w:sz="4" w:space="0" w:color="auto"/>
            </w:tcBorders>
            <w:shd w:val="clear" w:color="auto" w:fill="auto"/>
            <w:vAlign w:val="center"/>
          </w:tcPr>
          <w:p w:rsidR="00037E90" w:rsidRPr="008102F2" w:rsidRDefault="00037E9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Pr="008102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21 - 11</w:t>
            </w:r>
            <w:r w:rsidRPr="008102F2">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0</w:t>
            </w:r>
          </w:p>
        </w:tc>
      </w:tr>
    </w:tbl>
    <w:p w:rsidR="008D1CB6" w:rsidRPr="008102F2" w:rsidRDefault="008102F2" w:rsidP="008102F2">
      <w:pPr>
        <w:jc w:val="both"/>
        <w:rPr>
          <w:rFonts w:ascii="Times New Roman" w:hAnsi="Times New Roman" w:cs="Times New Roman"/>
          <w:sz w:val="24"/>
          <w:szCs w:val="24"/>
        </w:rPr>
      </w:pPr>
      <w:r w:rsidRPr="008102F2">
        <w:rPr>
          <w:rFonts w:ascii="Times New Roman" w:hAnsi="Times New Roman" w:cs="Times New Roman"/>
          <w:b/>
          <w:sz w:val="24"/>
          <w:szCs w:val="24"/>
        </w:rPr>
        <w:t>1)</w:t>
      </w:r>
      <w:r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358 sıra sayılı Milli Emlak Genel Tebliği ve 23/</w:t>
      </w:r>
      <w:r w:rsidR="00DE427F">
        <w:rPr>
          <w:rFonts w:ascii="Times New Roman" w:hAnsi="Times New Roman" w:cs="Times New Roman"/>
          <w:sz w:val="24"/>
          <w:szCs w:val="24"/>
        </w:rPr>
        <w:t>10</w:t>
      </w:r>
      <w:r w:rsidR="008D1CB6" w:rsidRPr="008102F2">
        <w:rPr>
          <w:rFonts w:ascii="Times New Roman" w:hAnsi="Times New Roman" w:cs="Times New Roman"/>
          <w:sz w:val="24"/>
          <w:szCs w:val="24"/>
        </w:rPr>
        <w:t>/20</w:t>
      </w:r>
      <w:r w:rsidR="00DE427F">
        <w:rPr>
          <w:rFonts w:ascii="Times New Roman" w:hAnsi="Times New Roman" w:cs="Times New Roman"/>
          <w:sz w:val="24"/>
          <w:szCs w:val="24"/>
        </w:rPr>
        <w:t>19</w:t>
      </w:r>
      <w:r w:rsidR="008D1CB6" w:rsidRPr="008102F2">
        <w:rPr>
          <w:rFonts w:ascii="Times New Roman" w:hAnsi="Times New Roman" w:cs="Times New Roman"/>
          <w:sz w:val="24"/>
          <w:szCs w:val="24"/>
        </w:rPr>
        <w:t xml:space="preserve"> tarihli ve </w:t>
      </w:r>
      <w:r w:rsidR="00DE427F">
        <w:rPr>
          <w:rFonts w:ascii="Times New Roman" w:hAnsi="Times New Roman" w:cs="Times New Roman"/>
          <w:sz w:val="24"/>
          <w:szCs w:val="24"/>
        </w:rPr>
        <w:t>30927</w:t>
      </w:r>
      <w:r w:rsidR="008D1CB6" w:rsidRPr="008102F2">
        <w:rPr>
          <w:rFonts w:ascii="Times New Roman" w:hAnsi="Times New Roman" w:cs="Times New Roman"/>
          <w:sz w:val="24"/>
          <w:szCs w:val="24"/>
        </w:rPr>
        <w:t xml:space="preserve"> sayılı Resmi Gazetede yayımlanarak yürürlüğe giren Ağaçlandırma Yönetmeliği çerçevesinde; Yukarıda tapu kaydı ve nitelikleri belirtilen, </w:t>
      </w:r>
      <w:r w:rsidR="00037E90">
        <w:rPr>
          <w:rFonts w:ascii="Times New Roman" w:hAnsi="Times New Roman" w:cs="Times New Roman"/>
          <w:sz w:val="24"/>
          <w:szCs w:val="24"/>
        </w:rPr>
        <w:t>Devletin Hüküm ve Tasarrufu Altındaki</w:t>
      </w:r>
      <w:r w:rsidR="008D1CB6" w:rsidRPr="008102F2">
        <w:rPr>
          <w:rFonts w:ascii="Times New Roman" w:hAnsi="Times New Roman" w:cs="Times New Roman"/>
          <w:sz w:val="24"/>
          <w:szCs w:val="24"/>
        </w:rPr>
        <w:t xml:space="preserve"> taşınmaz</w:t>
      </w:r>
      <w:r w:rsidR="00875656">
        <w:rPr>
          <w:rFonts w:ascii="Times New Roman" w:hAnsi="Times New Roman" w:cs="Times New Roman"/>
          <w:sz w:val="24"/>
          <w:szCs w:val="24"/>
        </w:rPr>
        <w:t>l</w:t>
      </w:r>
      <w:r w:rsidR="008D1CB6" w:rsidRPr="008102F2">
        <w:rPr>
          <w:rFonts w:ascii="Times New Roman" w:hAnsi="Times New Roman" w:cs="Times New Roman"/>
          <w:sz w:val="24"/>
          <w:szCs w:val="24"/>
        </w:rPr>
        <w:t>a</w:t>
      </w:r>
      <w:r w:rsidR="00037E90">
        <w:rPr>
          <w:rFonts w:ascii="Times New Roman" w:hAnsi="Times New Roman" w:cs="Times New Roman"/>
          <w:sz w:val="24"/>
          <w:szCs w:val="24"/>
        </w:rPr>
        <w:t>rla</w:t>
      </w:r>
      <w:r w:rsidR="008D1CB6" w:rsidRPr="008102F2">
        <w:rPr>
          <w:rFonts w:ascii="Times New Roman" w:hAnsi="Times New Roman" w:cs="Times New Roman"/>
          <w:sz w:val="24"/>
          <w:szCs w:val="24"/>
        </w:rPr>
        <w:t xml:space="preserve"> ilgili olarak; uygulama projesinde belirtilen idare süresi boyunca odun ve odun dışı orman ürünü veren türler yetiştirilmek amacıyla ağaçlandırma yapılmak üzere 10 (on) yılı (on yıl </w:t>
      </w:r>
      <w:proofErr w:type="gramStart"/>
      <w:r w:rsidR="008D1CB6" w:rsidRPr="008102F2">
        <w:rPr>
          <w:rFonts w:ascii="Times New Roman" w:hAnsi="Times New Roman" w:cs="Times New Roman"/>
          <w:sz w:val="24"/>
          <w:szCs w:val="24"/>
        </w:rPr>
        <w:t>dahil</w:t>
      </w:r>
      <w:proofErr w:type="gramEnd"/>
      <w:r w:rsidR="008D1CB6" w:rsidRPr="008102F2">
        <w:rPr>
          <w:rFonts w:ascii="Times New Roman" w:hAnsi="Times New Roman" w:cs="Times New Roman"/>
          <w:sz w:val="24"/>
          <w:szCs w:val="24"/>
        </w:rPr>
        <w:t xml:space="preserve">) geçmemek üzere gerçek veya tüzel kişilerden ön izin ve kiralama işlemleri için başvurular alınacaktır. </w:t>
      </w:r>
    </w:p>
    <w:p w:rsidR="008734EA" w:rsidRPr="008102F2" w:rsidRDefault="00875656" w:rsidP="008102F2">
      <w:pPr>
        <w:rPr>
          <w:rFonts w:ascii="Times New Roman" w:hAnsi="Times New Roman" w:cs="Times New Roman"/>
          <w:sz w:val="24"/>
          <w:szCs w:val="24"/>
        </w:rPr>
      </w:pPr>
      <w:r>
        <w:rPr>
          <w:rFonts w:ascii="Times New Roman" w:hAnsi="Times New Roman" w:cs="Times New Roman"/>
          <w:b/>
          <w:sz w:val="24"/>
          <w:szCs w:val="24"/>
        </w:rPr>
        <w:t>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w:t>
      </w:r>
      <w:r w:rsidR="008D1CB6" w:rsidRPr="008102F2">
        <w:rPr>
          <w:rFonts w:ascii="Times New Roman" w:hAnsi="Times New Roman" w:cs="Times New Roman"/>
          <w:b/>
          <w:sz w:val="24"/>
          <w:szCs w:val="24"/>
        </w:rPr>
        <w:t>Başvuru süresi</w:t>
      </w:r>
      <w:r w:rsidR="008D1CB6" w:rsidRPr="008102F2">
        <w:rPr>
          <w:rFonts w:ascii="Times New Roman" w:hAnsi="Times New Roman" w:cs="Times New Roman"/>
          <w:sz w:val="24"/>
          <w:szCs w:val="24"/>
        </w:rPr>
        <w:t xml:space="preserve"> </w:t>
      </w:r>
      <w:r w:rsidR="009868AE">
        <w:rPr>
          <w:rFonts w:ascii="Times New Roman" w:hAnsi="Times New Roman" w:cs="Times New Roman"/>
          <w:sz w:val="24"/>
          <w:szCs w:val="24"/>
        </w:rPr>
        <w:t>26</w:t>
      </w:r>
      <w:r w:rsidR="008D1CB6" w:rsidRPr="008102F2">
        <w:rPr>
          <w:rFonts w:ascii="Times New Roman" w:hAnsi="Times New Roman" w:cs="Times New Roman"/>
          <w:sz w:val="24"/>
          <w:szCs w:val="24"/>
        </w:rPr>
        <w:t>/</w:t>
      </w:r>
      <w:r w:rsidR="00037E90">
        <w:rPr>
          <w:rFonts w:ascii="Times New Roman" w:hAnsi="Times New Roman" w:cs="Times New Roman"/>
          <w:sz w:val="24"/>
          <w:szCs w:val="24"/>
        </w:rPr>
        <w:t>11</w:t>
      </w:r>
      <w:r w:rsidR="008D1CB6" w:rsidRPr="008102F2">
        <w:rPr>
          <w:rFonts w:ascii="Times New Roman" w:hAnsi="Times New Roman" w:cs="Times New Roman"/>
          <w:sz w:val="24"/>
          <w:szCs w:val="24"/>
        </w:rPr>
        <w:t>/20</w:t>
      </w:r>
      <w:r w:rsidR="005220D8">
        <w:rPr>
          <w:rFonts w:ascii="Times New Roman" w:hAnsi="Times New Roman" w:cs="Times New Roman"/>
          <w:sz w:val="24"/>
          <w:szCs w:val="24"/>
        </w:rPr>
        <w:t>21</w:t>
      </w:r>
      <w:r w:rsidR="008D1CB6" w:rsidRPr="008102F2">
        <w:rPr>
          <w:rFonts w:ascii="Times New Roman" w:hAnsi="Times New Roman" w:cs="Times New Roman"/>
          <w:sz w:val="24"/>
          <w:szCs w:val="24"/>
        </w:rPr>
        <w:t xml:space="preserve"> </w:t>
      </w:r>
      <w:r>
        <w:rPr>
          <w:rFonts w:ascii="Times New Roman" w:hAnsi="Times New Roman" w:cs="Times New Roman"/>
          <w:sz w:val="24"/>
          <w:szCs w:val="24"/>
        </w:rPr>
        <w:t>Cuma</w:t>
      </w:r>
      <w:r w:rsidR="008D1CB6" w:rsidRPr="008102F2">
        <w:rPr>
          <w:rFonts w:ascii="Times New Roman" w:hAnsi="Times New Roman" w:cs="Times New Roman"/>
          <w:sz w:val="24"/>
          <w:szCs w:val="24"/>
        </w:rPr>
        <w:t xml:space="preserve"> günü </w:t>
      </w:r>
      <w:r w:rsidR="009868AE">
        <w:rPr>
          <w:rFonts w:ascii="Times New Roman" w:hAnsi="Times New Roman" w:cs="Times New Roman"/>
          <w:sz w:val="24"/>
          <w:szCs w:val="24"/>
        </w:rPr>
        <w:t>mesai</w:t>
      </w:r>
      <w:r>
        <w:rPr>
          <w:rFonts w:ascii="Times New Roman" w:hAnsi="Times New Roman" w:cs="Times New Roman"/>
          <w:sz w:val="24"/>
          <w:szCs w:val="24"/>
        </w:rPr>
        <w:t xml:space="preserve"> saati</w:t>
      </w:r>
      <w:r w:rsidR="009868AE">
        <w:rPr>
          <w:rFonts w:ascii="Times New Roman" w:hAnsi="Times New Roman" w:cs="Times New Roman"/>
          <w:sz w:val="24"/>
          <w:szCs w:val="24"/>
        </w:rPr>
        <w:t xml:space="preserve"> bitimine</w:t>
      </w:r>
      <w:r w:rsidR="008D1CB6" w:rsidRPr="008102F2">
        <w:rPr>
          <w:rFonts w:ascii="Times New Roman" w:hAnsi="Times New Roman" w:cs="Times New Roman"/>
          <w:sz w:val="24"/>
          <w:szCs w:val="24"/>
        </w:rPr>
        <w:t xml:space="preserve"> kadardır.</w:t>
      </w:r>
    </w:p>
    <w:p w:rsidR="008C3A1B"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Söz konusu taşınmaz</w:t>
      </w:r>
      <w:r w:rsidR="00037E90">
        <w:rPr>
          <w:rFonts w:ascii="Times New Roman" w:hAnsi="Times New Roman" w:cs="Times New Roman"/>
          <w:sz w:val="24"/>
          <w:szCs w:val="24"/>
        </w:rPr>
        <w:t>lar</w:t>
      </w:r>
      <w:r w:rsidR="008D1CB6" w:rsidRPr="008102F2">
        <w:rPr>
          <w:rFonts w:ascii="Times New Roman" w:hAnsi="Times New Roman" w:cs="Times New Roman"/>
          <w:sz w:val="24"/>
          <w:szCs w:val="24"/>
        </w:rPr>
        <w:t xml:space="preserve">ı kiralamak isteyenlerin yukarıda belirtilen başvuru süresi içerisinde Malatya </w:t>
      </w:r>
      <w:r w:rsidR="005220D8">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xml:space="preserve"> Milli Emlak Müdürlüğüne müracaatları gerekmekte olup, Başvuruda bulunacak, Birinci Gruptan sayılanlar tarafından 358 sıra sayılı Milli Emlak Genel Tebliğinin ekinde yer alan (EK-2/A) dilekçe ile İkinci Grupta sayılanlar tarafından yine aynı Genel Tebliğin ekinde yer alan (EK- 2/B) dilekçe ve başvuru bedelini yatırdığına dair makbuz ile birlikte,</w:t>
      </w:r>
      <w:proofErr w:type="gramEnd"/>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Gerçek kişilerin;</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Y</w:t>
      </w:r>
      <w:r w:rsidRPr="008102F2">
        <w:rPr>
          <w:rFonts w:ascii="Times New Roman" w:hAnsi="Times New Roman" w:cs="Times New Roman"/>
          <w:sz w:val="24"/>
          <w:szCs w:val="24"/>
        </w:rPr>
        <w:t xml:space="preserve">erleşim yeri belgesi veya </w:t>
      </w:r>
      <w:proofErr w:type="gramStart"/>
      <w:r w:rsidRPr="008102F2">
        <w:rPr>
          <w:rFonts w:ascii="Times New Roman" w:hAnsi="Times New Roman" w:cs="Times New Roman"/>
          <w:sz w:val="24"/>
          <w:szCs w:val="24"/>
        </w:rPr>
        <w:t>ikametgah</w:t>
      </w:r>
      <w:proofErr w:type="gramEnd"/>
      <w:r w:rsidRPr="008102F2">
        <w:rPr>
          <w:rFonts w:ascii="Times New Roman" w:hAnsi="Times New Roman" w:cs="Times New Roman"/>
          <w:sz w:val="24"/>
          <w:szCs w:val="24"/>
        </w:rPr>
        <w:t xml:space="preserve"> belgesini, aslını ibraz etmek suretiyle nüfus cüzdanı fotokopisini veya nüfus kayıt örneğini,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Tüzel kişilerin ise;</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B</w:t>
      </w:r>
      <w:r w:rsidRPr="008102F2">
        <w:rPr>
          <w:rFonts w:ascii="Times New Roman" w:hAnsi="Times New Roman" w:cs="Times New Roman"/>
          <w:sz w:val="24"/>
          <w:szCs w:val="24"/>
        </w:rPr>
        <w:t xml:space="preserve">aşvurunun yapıldığı yıl içinde alınmış, kayıtlı olduğu oda sicil kaydı ile tüzel kişilik adına başvuruda bulunacak kişilerin temsile tam yetkili olduklarını gösterir noter tasdikli yetki belgesi ve imza sirkülerinin aslını veya noter tasdikli örneğini, ibraz etmeleri gerekmektedir. </w:t>
      </w:r>
    </w:p>
    <w:p w:rsidR="008D1CB6" w:rsidRPr="008102F2" w:rsidRDefault="008D1CB6" w:rsidP="008D1CB6">
      <w:pPr>
        <w:jc w:val="both"/>
        <w:rPr>
          <w:rFonts w:ascii="Times New Roman" w:hAnsi="Times New Roman" w:cs="Times New Roman"/>
          <w:b/>
          <w:sz w:val="24"/>
          <w:szCs w:val="24"/>
        </w:rPr>
      </w:pPr>
      <w:r w:rsidRPr="008102F2">
        <w:rPr>
          <w:rFonts w:ascii="Times New Roman" w:hAnsi="Times New Roman" w:cs="Times New Roman"/>
          <w:b/>
          <w:sz w:val="24"/>
          <w:szCs w:val="24"/>
        </w:rPr>
        <w:t xml:space="preserve">358 sıra sayılı Milli Emlak Genel Tebliğine göre hak sahipliği grupları;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lastRenderedPageBreak/>
        <w:t>a) Birinci grup:</w:t>
      </w:r>
      <w:r w:rsidRPr="008102F2">
        <w:rPr>
          <w:rFonts w:ascii="Times New Roman" w:hAnsi="Times New Roman" w:cs="Times New Roman"/>
          <w:sz w:val="24"/>
          <w:szCs w:val="24"/>
        </w:rPr>
        <w:t xml:space="preserv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ancak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ve/veya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olmamakla birlikte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gerçek kişiler 100.000 m²’ye kadar (100.000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İkinci grup:</w:t>
      </w:r>
      <w:r w:rsidRPr="008102F2">
        <w:rPr>
          <w:rFonts w:ascii="Times New Roman" w:hAnsi="Times New Roman" w:cs="Times New Roman"/>
          <w:sz w:val="24"/>
          <w:szCs w:val="24"/>
        </w:rPr>
        <w:t xml:space="preserve"> Tüzel kişiler ile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olmayan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gerçek kişiler 3.000.000 m²’ye kadar (3.000.000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358 sıra sayılı Milli Emlak Genel Tebliğinin yürürlüğe girdiği tarihte geçerli olan belediye ve mücavir alan sınırları dışında bulunan ve ilan edilen taşınmazlar için başvuran kişilerden hak sahipleri, yukarıda belirtilen öncelik sırası ve taşınmaz yüzölçümleri esas alınarak yapılan gruplandırmaya göre belirlenir.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kişi tarafından 358 sıra sayılı Milli Emlak Genel Tebliğinin 9 uncu maddesinin ikinci fıkrasında belirtilen ve yüzölçümü hak sahibi olabileceği miktardan fazla olan bir taşınmaz için başvuruda bulunulması halinde; taşınmazın fazla olan kısmının ağaçlandırma yapılması veya diğer şekillerde değerlendirilmesi suretiyle müstakil kullanımına uygun olup olmadığı İdarece tespit edilir ve fazla olan kısmının bu şekilde müstakil olarak kullanımının mümkün olmaması halinde bu kısım için de aynı kişi hak sahibi kabul edilerek işlem yapılabilir. </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Birinci grupta yer alan kişi kendi grubunda hak sahipliği olduğu miktar verildikten sonra, bu miktardan fazla olan kısmı için, 358 Sayılı Milli Emlak Genel Tebliği ekinde (EK-3) yer alan tabloda ikinci grup için belirtilen başvuru bedeli yatırılmak suretiyle bu Genel Tebliğ ekinde (EK-2/B) yer alan dilekçe ile İdareye başvuruda bulunabilir ve bu kısma ilişkin başvuru ikinci grupta değerlendirilir. </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 edilen bir taşınmazın yüzölçümünün birden fazla kişinin hak sahipliğine konu olabilecek kadar fazla olması halinde, ikinci fıkrada belirtilen esaslara göre taşınmaz İdarece belirlenen ve kroki sinde gösterilen bölümler halinde hak sahipliğine konu edilebilir.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8</w:t>
      </w:r>
      <w:r w:rsidR="008D1CB6" w:rsidRPr="00C55971">
        <w:rPr>
          <w:rFonts w:ascii="Times New Roman" w:hAnsi="Times New Roman" w:cs="Times New Roman"/>
          <w:b/>
          <w:sz w:val="24"/>
          <w:szCs w:val="24"/>
        </w:rPr>
        <w:t>)</w:t>
      </w:r>
      <w:r w:rsidR="008D1CB6" w:rsidRPr="008102F2">
        <w:rPr>
          <w:rFonts w:ascii="Times New Roman" w:hAnsi="Times New Roman" w:cs="Times New Roman"/>
          <w:sz w:val="24"/>
          <w:szCs w:val="24"/>
        </w:rPr>
        <w:t xml:space="preserve"> Her aileden sadece bir kişi hak sahibi olabilir.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taşınmazın bir kısmı veya tamamı üzerinde ikinci grupta sayılan birden fazla kişinin ağaçlandırma amaçlı ön izin ve kiralama talebi bulunması ve bu taleplerin taşınmazın farklı miktarlardaki yüzölçümleri için olması halinde; Valilik (</w:t>
      </w:r>
      <w:r>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tarafından aksi belirtilmedikçe; başvuru bedeli üzerinden pazarlık usulü ile ihale komisyonu tarafından yapılacak arttırma, taşınmazın ikinci gruptaki talepler içinden talep edilen en yüksek yüzölçümü üzerinden yapılır.</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11</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hakkında birden fazla başvuru yapılması, bu taşınmazın yüzölçümünün birden fazla kişinin hak sahipliğine konu olabilecek kadar büyük olması ve başvuru sahiplerinin hak sahibi olabilecekleri miktarlar çerçevesinde taşınmazın aynı kısmı için talepte bulunmaları halinde; bu maddenin ikinci fıkrasında belirtilen esaslara (öncelik sırasına ve yüzölçüme) göre taşınmazın hangi bölümü hakkında hangi başvuru sahibinin hak sahibi olacağı, bu hak sahiplerine ön izin verileceği ve kiralama yapılacağı; aynı gruptaki başvuru sahipleri arasında öncelikle anlaşma yapılmak suretiyle, anlaşma sağlanamaması halinde ise, İdarece hak sahipleri arasında kura çekilmek suretiyle belirlenir.</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lastRenderedPageBreak/>
        <w:t>12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Hak sahiplerinin taleplerinden vazgeçmesi veya hak sahipliliğinin iptali durumunda, başvuru bedeli iade edilmez.</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Bu taşınmazlara yönelik olarak ağaçlandırma amaçlı tahsis taleplerinin bulunması halinde, ikinci fıkrada belirtilen hak sahipleri dikkate alınmaksızın ve yüzölçüm sınırlaması aranmaksızın genel yönetim kapsamındaki kamu idarelerine öncelik tanınır.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Yukarıda tapu kaydı ve nitelikleri belirtilen taşınmaz ile ilgili olarak başvuru süresi içerisinde birden fazla talep olması halinde, hizalarında belirtilen gün ve saatte başvuru bedelleri üzerinden 2886 sayılı Devlet İhale Kanununun 51/g maddesi uyarınca pazarlık usulü ile ağaçlandırma amaçlı kiralama ihaleleri yapılacaktır.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Posta ile yapılacak müracaatlarda </w:t>
      </w:r>
      <w:r w:rsidR="005F6E20" w:rsidRPr="008102F2">
        <w:rPr>
          <w:rFonts w:ascii="Times New Roman" w:hAnsi="Times New Roman" w:cs="Times New Roman"/>
          <w:sz w:val="24"/>
          <w:szCs w:val="24"/>
        </w:rPr>
        <w:t>son başvuru tarihinden sonra</w:t>
      </w:r>
      <w:r w:rsidR="008D1CB6" w:rsidRPr="008102F2">
        <w:rPr>
          <w:rFonts w:ascii="Times New Roman" w:hAnsi="Times New Roman" w:cs="Times New Roman"/>
          <w:sz w:val="24"/>
          <w:szCs w:val="24"/>
        </w:rPr>
        <w:t xml:space="preserve"> gelen teklifler kabul edilmeyecektir.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İlanda belirtilen </w:t>
      </w:r>
      <w:r w:rsidR="005F6E20" w:rsidRPr="008102F2">
        <w:rPr>
          <w:rFonts w:ascii="Times New Roman" w:hAnsi="Times New Roman" w:cs="Times New Roman"/>
          <w:sz w:val="24"/>
          <w:szCs w:val="24"/>
        </w:rPr>
        <w:t xml:space="preserve">son başvuru tarihinden </w:t>
      </w:r>
      <w:r w:rsidR="008D1CB6" w:rsidRPr="008102F2">
        <w:rPr>
          <w:rFonts w:ascii="Times New Roman" w:hAnsi="Times New Roman" w:cs="Times New Roman"/>
          <w:sz w:val="24"/>
          <w:szCs w:val="24"/>
        </w:rPr>
        <w:t>sonra teklif alınmayacaktır.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1</w:t>
      </w:r>
      <w:r w:rsidR="00875656">
        <w:rPr>
          <w:rFonts w:ascii="Times New Roman" w:hAnsi="Times New Roman" w:cs="Times New Roman"/>
          <w:b/>
          <w:sz w:val="24"/>
          <w:szCs w:val="24"/>
        </w:rPr>
        <w:t>7</w:t>
      </w:r>
      <w:r w:rsidRPr="008102F2">
        <w:rPr>
          <w:rFonts w:ascii="Times New Roman" w:hAnsi="Times New Roman" w:cs="Times New Roman"/>
          <w:b/>
          <w:sz w:val="24"/>
          <w:szCs w:val="24"/>
        </w:rPr>
        <w:t>)</w:t>
      </w:r>
      <w:r w:rsidRPr="008102F2">
        <w:rPr>
          <w:rFonts w:ascii="Times New Roman" w:hAnsi="Times New Roman" w:cs="Times New Roman"/>
          <w:sz w:val="24"/>
          <w:szCs w:val="24"/>
        </w:rPr>
        <w:t xml:space="preserve"> İhaleler, taşınmaz bazında yukarıda belirtilen sıra numarasına göre yapılacaktır. İhale komisyonu ihaleyi yapıp yapmamakta serbesttir.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18</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Bakanlık tarafından yapılan inceleme sonucunda, hak sahiplerine ağaçlandırma yapılmak üzere uygulama projesi hazırlanması amacıyla bedelsiz olarak 90 (doksan) gün süreli ön izin verilir. Ön izin sahibi tarafından ön izin süresi içerisinde Orman ve Su İşleri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itibariyle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30</w:t>
      </w:r>
      <w:r w:rsidR="003B2479"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 xml:space="preserve">(otuz) gün ek süre verilir. Ön izin süresi ve verilmiş ise ek süre içerisinde uygulama projesinin hazırlatılarak onaylatılamaması halinde ön izin İdarece iptal edilir.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Ağaçlandırma yapılmak amacıyla kiraya verilen taşınmazların yıllık tahmini kira bedelleri; Orman ve Su İşleri Bakanlığı Orman Genel Müdürlüğü tarafından fidan türleri ve arazi verim sınıfları dikkate alınarak her yıl yeniden belirlenen bedeller üzerinden tespit edilir.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20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İlk yıl kira bedeli ihale bedeline; ikinci, üçüncü, dördüncü ve beşinci yıllar kira bedelleri ise, Orman ve Su İşleri Bakanlığı Orman Genel Müdürlüğünce her yıl belirlenen bedellere % 50 indirim uygulanarak tahsil edilir. Altıncı ve sonraki yıllar kira bedelleri ise Orman ve Su İşleri Bakanlığı Orman Genel Müdürlüğünce her yıl belirlenen bedellerin tamamı üzerinden tahsil edilir. Kira bedelleri yıllık ve peşin olarak tahsil edilir. Ayrıca varsa taşınmazın üzerindeki </w:t>
      </w:r>
      <w:proofErr w:type="spellStart"/>
      <w:r w:rsidR="008D1CB6" w:rsidRPr="008102F2">
        <w:rPr>
          <w:rFonts w:ascii="Times New Roman" w:hAnsi="Times New Roman" w:cs="Times New Roman"/>
          <w:sz w:val="24"/>
          <w:szCs w:val="24"/>
        </w:rPr>
        <w:t>muhdesat</w:t>
      </w:r>
      <w:proofErr w:type="spellEnd"/>
      <w:r w:rsidR="008D1CB6" w:rsidRPr="008102F2">
        <w:rPr>
          <w:rFonts w:ascii="Times New Roman" w:hAnsi="Times New Roman" w:cs="Times New Roman"/>
          <w:sz w:val="24"/>
          <w:szCs w:val="24"/>
        </w:rPr>
        <w:t xml:space="preserve"> için tespit ve takdir edilen bedel kiracı tarafından peşin olarak İdareye ödenir.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NOT:</w:t>
      </w:r>
      <w:r w:rsidR="008C3A1B" w:rsidRPr="008102F2">
        <w:rPr>
          <w:rFonts w:ascii="Times New Roman" w:hAnsi="Times New Roman" w:cs="Times New Roman"/>
          <w:sz w:val="24"/>
          <w:szCs w:val="24"/>
        </w:rPr>
        <w:t xml:space="preserve"> </w:t>
      </w:r>
      <w:r w:rsidRPr="008102F2">
        <w:rPr>
          <w:rFonts w:ascii="Times New Roman" w:hAnsi="Times New Roman" w:cs="Times New Roman"/>
          <w:sz w:val="24"/>
          <w:szCs w:val="24"/>
        </w:rPr>
        <w:t>İhale bilgileri www.milliemlak.gov.tr veya www.malatya</w:t>
      </w:r>
      <w:r w:rsidR="00C55971">
        <w:rPr>
          <w:rFonts w:ascii="Times New Roman" w:hAnsi="Times New Roman" w:cs="Times New Roman"/>
          <w:sz w:val="24"/>
          <w:szCs w:val="24"/>
        </w:rPr>
        <w:t>.csb</w:t>
      </w:r>
      <w:r w:rsidRPr="008102F2">
        <w:rPr>
          <w:rFonts w:ascii="Times New Roman" w:hAnsi="Times New Roman" w:cs="Times New Roman"/>
          <w:sz w:val="24"/>
          <w:szCs w:val="24"/>
        </w:rPr>
        <w:t xml:space="preserve">.gov.tr internet adreslerinden öğrenilebilir. </w:t>
      </w:r>
    </w:p>
    <w:p w:rsidR="00E83A17"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sz w:val="24"/>
          <w:szCs w:val="24"/>
        </w:rPr>
        <w:t>İlan olunur.</w:t>
      </w:r>
    </w:p>
    <w:sectPr w:rsidR="00E83A17" w:rsidRPr="008102F2" w:rsidSect="00AA4E5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3474"/>
    <w:multiLevelType w:val="hybridMultilevel"/>
    <w:tmpl w:val="79F08C86"/>
    <w:lvl w:ilvl="0" w:tplc="5C22E3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B6"/>
    <w:rsid w:val="00037E90"/>
    <w:rsid w:val="00187518"/>
    <w:rsid w:val="001C6AB1"/>
    <w:rsid w:val="002127D6"/>
    <w:rsid w:val="00240BA2"/>
    <w:rsid w:val="00272797"/>
    <w:rsid w:val="00274FE7"/>
    <w:rsid w:val="0031191E"/>
    <w:rsid w:val="00356792"/>
    <w:rsid w:val="003B2479"/>
    <w:rsid w:val="003B2C0F"/>
    <w:rsid w:val="0047336C"/>
    <w:rsid w:val="005105FE"/>
    <w:rsid w:val="005220D8"/>
    <w:rsid w:val="005F6E20"/>
    <w:rsid w:val="00766560"/>
    <w:rsid w:val="007779F0"/>
    <w:rsid w:val="008102F2"/>
    <w:rsid w:val="008734EA"/>
    <w:rsid w:val="00875656"/>
    <w:rsid w:val="008C3A1B"/>
    <w:rsid w:val="008D1CB6"/>
    <w:rsid w:val="008E0DF9"/>
    <w:rsid w:val="008F49CE"/>
    <w:rsid w:val="009868AE"/>
    <w:rsid w:val="009A3268"/>
    <w:rsid w:val="009B32EB"/>
    <w:rsid w:val="00AA4E55"/>
    <w:rsid w:val="00B5004D"/>
    <w:rsid w:val="00BB68CC"/>
    <w:rsid w:val="00C425E1"/>
    <w:rsid w:val="00C44D66"/>
    <w:rsid w:val="00C55971"/>
    <w:rsid w:val="00D422E6"/>
    <w:rsid w:val="00D916A7"/>
    <w:rsid w:val="00DE427F"/>
    <w:rsid w:val="00E83A17"/>
    <w:rsid w:val="00F14F5A"/>
    <w:rsid w:val="00FA6547"/>
    <w:rsid w:val="00FC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692E5-2247-4FA3-8F50-7F2B0C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C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CB6"/>
  </w:style>
  <w:style w:type="paragraph" w:styleId="BalonMetni">
    <w:name w:val="Balloon Text"/>
    <w:basedOn w:val="Normal"/>
    <w:link w:val="BalonMetniChar"/>
    <w:uiPriority w:val="99"/>
    <w:semiHidden/>
    <w:unhideWhenUsed/>
    <w:rsid w:val="00C425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25E1"/>
    <w:rPr>
      <w:rFonts w:ascii="Tahoma" w:hAnsi="Tahoma" w:cs="Tahoma"/>
      <w:sz w:val="16"/>
      <w:szCs w:val="16"/>
    </w:rPr>
  </w:style>
  <w:style w:type="paragraph" w:styleId="ListeParagraf">
    <w:name w:val="List Paragraph"/>
    <w:basedOn w:val="Normal"/>
    <w:uiPriority w:val="34"/>
    <w:qFormat/>
    <w:rsid w:val="0081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dc:creator>
  <cp:lastModifiedBy>Pc</cp:lastModifiedBy>
  <cp:revision>2</cp:revision>
  <cp:lastPrinted>2018-10-03T08:48:00Z</cp:lastPrinted>
  <dcterms:created xsi:type="dcterms:W3CDTF">2021-11-11T13:18:00Z</dcterms:created>
  <dcterms:modified xsi:type="dcterms:W3CDTF">2021-11-11T13:18:00Z</dcterms:modified>
</cp:coreProperties>
</file>